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370" w:rsidRPr="00A60370" w:rsidRDefault="00A60370" w:rsidP="005525EB">
      <w:pPr>
        <w:spacing w:after="0" w:line="480" w:lineRule="auto"/>
        <w:rPr>
          <w:rFonts w:ascii="Times New Roman" w:hAnsi="Times New Roman" w:cs="Times New Roman"/>
          <w:sz w:val="24"/>
          <w:szCs w:val="24"/>
        </w:rPr>
      </w:pPr>
    </w:p>
    <w:p w:rsidR="00A60370" w:rsidRPr="00A60370" w:rsidRDefault="00A60370" w:rsidP="005525EB">
      <w:pPr>
        <w:spacing w:after="0" w:line="480" w:lineRule="auto"/>
        <w:rPr>
          <w:rFonts w:ascii="Times New Roman" w:hAnsi="Times New Roman" w:cs="Times New Roman"/>
          <w:sz w:val="24"/>
          <w:szCs w:val="24"/>
        </w:rPr>
      </w:pPr>
    </w:p>
    <w:p w:rsidR="00A60370" w:rsidRPr="00A60370" w:rsidRDefault="00A60370" w:rsidP="005525EB">
      <w:pPr>
        <w:spacing w:after="0" w:line="480" w:lineRule="auto"/>
        <w:rPr>
          <w:rFonts w:ascii="Times New Roman" w:hAnsi="Times New Roman" w:cs="Times New Roman"/>
          <w:sz w:val="24"/>
          <w:szCs w:val="24"/>
        </w:rPr>
      </w:pPr>
    </w:p>
    <w:p w:rsidR="00A60370" w:rsidRPr="00A60370" w:rsidRDefault="00A60370" w:rsidP="005525EB">
      <w:pPr>
        <w:spacing w:after="0" w:line="480" w:lineRule="auto"/>
        <w:rPr>
          <w:rFonts w:ascii="Times New Roman" w:hAnsi="Times New Roman" w:cs="Times New Roman"/>
          <w:sz w:val="24"/>
          <w:szCs w:val="24"/>
        </w:rPr>
      </w:pPr>
    </w:p>
    <w:p w:rsidR="00A60370" w:rsidRPr="00A60370" w:rsidRDefault="00A60370" w:rsidP="005525EB">
      <w:pPr>
        <w:spacing w:after="0" w:line="480" w:lineRule="auto"/>
        <w:rPr>
          <w:rFonts w:ascii="Times New Roman" w:hAnsi="Times New Roman" w:cs="Times New Roman"/>
          <w:sz w:val="24"/>
          <w:szCs w:val="24"/>
        </w:rPr>
      </w:pPr>
    </w:p>
    <w:p w:rsidR="00A60370" w:rsidRPr="00A60370" w:rsidRDefault="00A60370" w:rsidP="005525EB">
      <w:pPr>
        <w:spacing w:after="0" w:line="480" w:lineRule="auto"/>
        <w:rPr>
          <w:rFonts w:ascii="Times New Roman" w:hAnsi="Times New Roman" w:cs="Times New Roman"/>
          <w:sz w:val="24"/>
          <w:szCs w:val="24"/>
        </w:rPr>
      </w:pPr>
    </w:p>
    <w:p w:rsidR="00A60370" w:rsidRPr="00A60370" w:rsidRDefault="00A60370" w:rsidP="005525EB">
      <w:pPr>
        <w:spacing w:after="0" w:line="480" w:lineRule="auto"/>
        <w:jc w:val="center"/>
        <w:rPr>
          <w:rFonts w:ascii="Times New Roman" w:hAnsi="Times New Roman" w:cs="Times New Roman"/>
          <w:sz w:val="24"/>
          <w:szCs w:val="24"/>
        </w:rPr>
      </w:pPr>
      <w:r w:rsidRPr="00A60370">
        <w:rPr>
          <w:rFonts w:ascii="Times New Roman" w:hAnsi="Times New Roman" w:cs="Times New Roman"/>
          <w:sz w:val="24"/>
          <w:szCs w:val="24"/>
        </w:rPr>
        <w:t>Sir Gawain and the Green Knight</w:t>
      </w:r>
    </w:p>
    <w:p w:rsidR="00A60370" w:rsidRPr="00A60370" w:rsidRDefault="00A60370" w:rsidP="005525EB">
      <w:pPr>
        <w:spacing w:after="0" w:line="480" w:lineRule="auto"/>
        <w:jc w:val="center"/>
        <w:rPr>
          <w:rFonts w:ascii="Times New Roman" w:hAnsi="Times New Roman" w:cs="Times New Roman"/>
          <w:sz w:val="24"/>
          <w:szCs w:val="24"/>
        </w:rPr>
      </w:pPr>
      <w:r w:rsidRPr="00A60370">
        <w:rPr>
          <w:rFonts w:ascii="Times New Roman" w:hAnsi="Times New Roman" w:cs="Times New Roman"/>
          <w:sz w:val="24"/>
          <w:szCs w:val="24"/>
        </w:rPr>
        <w:t>Name of Student</w:t>
      </w:r>
    </w:p>
    <w:p w:rsidR="00A60370" w:rsidRPr="00A60370" w:rsidRDefault="00A60370" w:rsidP="005525EB">
      <w:pPr>
        <w:spacing w:after="0" w:line="480" w:lineRule="auto"/>
        <w:jc w:val="center"/>
        <w:rPr>
          <w:rFonts w:ascii="Times New Roman" w:hAnsi="Times New Roman" w:cs="Times New Roman"/>
          <w:sz w:val="24"/>
          <w:szCs w:val="24"/>
        </w:rPr>
      </w:pPr>
      <w:r w:rsidRPr="00A60370">
        <w:rPr>
          <w:rFonts w:ascii="Times New Roman" w:hAnsi="Times New Roman" w:cs="Times New Roman"/>
          <w:sz w:val="24"/>
          <w:szCs w:val="24"/>
        </w:rPr>
        <w:t>Name of Institution</w:t>
      </w:r>
    </w:p>
    <w:p w:rsidR="00A60370" w:rsidRPr="00A60370" w:rsidRDefault="00A60370" w:rsidP="005525EB">
      <w:pPr>
        <w:spacing w:after="0" w:line="480" w:lineRule="auto"/>
        <w:jc w:val="center"/>
        <w:rPr>
          <w:rFonts w:ascii="Times New Roman" w:hAnsi="Times New Roman" w:cs="Times New Roman"/>
          <w:sz w:val="24"/>
          <w:szCs w:val="24"/>
        </w:rPr>
      </w:pPr>
      <w:r w:rsidRPr="00A60370">
        <w:rPr>
          <w:rFonts w:ascii="Times New Roman" w:hAnsi="Times New Roman" w:cs="Times New Roman"/>
          <w:sz w:val="24"/>
          <w:szCs w:val="24"/>
        </w:rPr>
        <w:t xml:space="preserve">Date </w:t>
      </w:r>
      <w:r w:rsidRPr="00A60370">
        <w:rPr>
          <w:rFonts w:ascii="Times New Roman" w:hAnsi="Times New Roman" w:cs="Times New Roman"/>
          <w:sz w:val="24"/>
          <w:szCs w:val="24"/>
        </w:rPr>
        <w:br w:type="page"/>
      </w:r>
    </w:p>
    <w:p w:rsidR="005525EB" w:rsidRPr="00A60370" w:rsidRDefault="005525EB" w:rsidP="005525EB">
      <w:pPr>
        <w:spacing w:after="0" w:line="480" w:lineRule="auto"/>
        <w:jc w:val="center"/>
        <w:rPr>
          <w:rFonts w:ascii="Times New Roman" w:hAnsi="Times New Roman" w:cs="Times New Roman"/>
          <w:sz w:val="24"/>
          <w:szCs w:val="24"/>
        </w:rPr>
      </w:pPr>
      <w:r w:rsidRPr="00A60370">
        <w:rPr>
          <w:rFonts w:ascii="Times New Roman" w:hAnsi="Times New Roman" w:cs="Times New Roman"/>
          <w:sz w:val="24"/>
          <w:szCs w:val="24"/>
        </w:rPr>
        <w:lastRenderedPageBreak/>
        <w:t>Sir Gawain and the Green Knight</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The poet introduces Gawain as an honorable nephew to King Arthur, whose bravery saves the latter character from imminent disgrace. The character demonstrates the actual value of the essence at which makes a knight, mainly held and observed by knights under King Arthur. In preparation to keep his word, Gaiwan arms himself. His shield has a pentangle on a red background that the poet as an endless knot. The pentangle, according to Sir Gawain and the Green Knight, dictates the mannerisms and behaviors expected of a knight. Does the character of Gawain measure up to the sentiments portrayed?</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Middle English also recognizes the term knot in the form of knotte, cnotte, or cnot. The term in the language means the binding and fastening tactics used in ropes, threads, or spider webs, and aids in acting as a sort of pulley or a slip noose. The term may also imply a theological or philosophical problem, in the form of a riddle or a mystery that needs to be solved. A knot is also a symbolical representation of the outcome of a battle or the main point of narration. Middle English also uses the term to symbolize a sense, or an agreement, or the clasp of a book that should not b undone. </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Does the symbol on the chest of the shield highlight the Igraine era in the medieval history or a culmination of Christian faith? In the context of the tale, the seemingly endless knot on Gawain's shield is highly descriptive of the pattern of interlacing lines. The poet describes the formation of the shield as a star with five points. Each star forms a pattern by passing over and under the adjacent ones and joining at the end. The pattern forms a pentangle which is both a representative of the virtues that the character aspires to demonstrate as a knight, highly derivative of the medieval times. However, the pentangle on the shield is opposite to the face of the mother of Christ, which is the side of the shield where Gawain viewed. The pentangle may </w:t>
      </w:r>
      <w:r w:rsidRPr="00A60370">
        <w:rPr>
          <w:rFonts w:ascii="Times New Roman" w:hAnsi="Times New Roman" w:cs="Times New Roman"/>
          <w:sz w:val="24"/>
          <w:szCs w:val="24"/>
        </w:rPr>
        <w:lastRenderedPageBreak/>
        <w:t xml:space="preserve">also infer to a representation of the magic seal of King Solomon. Mary and King Solomon are biblical depictions. However, I perceive that the pentangle is a myth with several aspects borrowed from faith. </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Of the five pentangles, one tip highlights the purity of a knight. Gawain is even dignified and hailed in the green castle since he serves under King Arthur, known for holding sacred the traits embodied by knights. The five senses represented in the pentangle also illustrate that Gawain demonstrated knighthood by not desecrating his body in sin. However, the sense also assesses the capability of a knight to assess and adequately analyze any given situation. The pot records that the character loses sense when the wine goes to his head. Gawain is also not good at assessing situations since sought shelter from a castle hat appeared from nowhere and was reluctant to leave. </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Assessment of the character of Gawain also follows the interpretation of the five fingers that evaluate the character on the basis of physical strength and an endearing wish to serve their lord. Gawain demonstrates this at the feast after the Green Knight challenges King Arthur. Gawain takes up the challenge to preserve the honor of the king for not engaging in dare quests. Gawain also encountered and conquered various foes within the wilderness, on his quest to the chapel. In the name of completing his quest, Gawain faces numerous challenges and comes out victorious. However, after arriving at the green chapel, Gawain is reluctant and stays in bed because of a game with his host. The behavior is against the character of knights who would rather go hunting with the rest. Gawain also fails to prepare for the quest and opts to indulge. </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The third aspect of the pentangle is the five wounds to Christ on the cross. The element of the pentangle demands faithfulness from the character and devotion to the church. The poet paints Gawain as a prayerful man who never loses faith in his quest. Even in his troubling </w:t>
      </w:r>
      <w:r w:rsidRPr="00A60370">
        <w:rPr>
          <w:rFonts w:ascii="Times New Roman" w:hAnsi="Times New Roman" w:cs="Times New Roman"/>
          <w:sz w:val="24"/>
          <w:szCs w:val="24"/>
        </w:rPr>
        <w:lastRenderedPageBreak/>
        <w:t xml:space="preserve">nightmares, the character still remains faithful and devoted. Gawain is also unfaltering in his quest since he prays for a place to hold a mass as he assesses that Christmas approaches. However, on reaching the green castle, Gawain seemingly puts aside his faith and ceases his prayerful attitude. The character's piety fades as he chooses to indulge in what his host has to offer. </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 xml:space="preserve">The five joys of the Virgin Mary are signs of strength and faith. The joys that the element decree follows the joy Mary felt through the annunciation, nativity, resurrection, ascension, and assumption of her son Jesus. The symbolism behind the element in the shield and the imagery of Mary on the inside of the shield highlights that Gawain considered himself as a knight of the blessed virgin and sought her protection and intervention. However, his piety seemingly disappears on arrival at the green castle. </w:t>
      </w:r>
    </w:p>
    <w:p w:rsidR="00A60370" w:rsidRPr="00A60370" w:rsidRDefault="00A60370" w:rsidP="005525EB">
      <w:pPr>
        <w:spacing w:after="0" w:line="480" w:lineRule="auto"/>
        <w:ind w:firstLine="720"/>
        <w:rPr>
          <w:rFonts w:ascii="Times New Roman" w:hAnsi="Times New Roman" w:cs="Times New Roman"/>
          <w:sz w:val="24"/>
          <w:szCs w:val="24"/>
        </w:rPr>
      </w:pPr>
      <w:r w:rsidRPr="00A60370">
        <w:rPr>
          <w:rFonts w:ascii="Times New Roman" w:hAnsi="Times New Roman" w:cs="Times New Roman"/>
          <w:sz w:val="24"/>
          <w:szCs w:val="24"/>
        </w:rPr>
        <w:t>The last element in the pentangle is the five knightly virtues. To become a knight, one must abide by the laws of generosity, friendship, continence, courtesy, and piety. Gawain is expected to embody such traits. He does so in following through with the quest when the time comes without the need for probing or forcefully evicting. Gawain also demonstrates nobility by enquiring on how to make it to the Green Knight to his hosts. However, Gawain breaks an oath he made with his host about a game they play. However, it is revealed that his dishonesty was for self-preservation, and therefore does not blemish his character.</w:t>
      </w:r>
    </w:p>
    <w:p w:rsidR="005525EB" w:rsidRDefault="005525EB" w:rsidP="005525EB">
      <w:pPr>
        <w:spacing w:after="0" w:line="480" w:lineRule="auto"/>
        <w:rPr>
          <w:rFonts w:ascii="Times New Roman" w:hAnsi="Times New Roman" w:cs="Times New Roman"/>
          <w:sz w:val="24"/>
          <w:szCs w:val="24"/>
        </w:rPr>
      </w:pPr>
    </w:p>
    <w:p w:rsidR="005525EB" w:rsidRDefault="005525EB" w:rsidP="005525EB">
      <w:pPr>
        <w:spacing w:after="0" w:line="480" w:lineRule="auto"/>
        <w:rPr>
          <w:rFonts w:ascii="Times New Roman" w:hAnsi="Times New Roman" w:cs="Times New Roman"/>
          <w:sz w:val="24"/>
          <w:szCs w:val="24"/>
        </w:rPr>
      </w:pPr>
    </w:p>
    <w:p w:rsidR="00A60370" w:rsidRPr="00A60370" w:rsidRDefault="005525EB" w:rsidP="005525EB">
      <w:pPr>
        <w:spacing w:after="0" w:line="480" w:lineRule="auto"/>
        <w:rPr>
          <w:rFonts w:ascii="Times New Roman" w:hAnsi="Times New Roman" w:cs="Times New Roman"/>
          <w:sz w:val="24"/>
          <w:szCs w:val="24"/>
        </w:rPr>
      </w:pPr>
      <w:r>
        <w:rPr>
          <w:rFonts w:ascii="Times New Roman" w:hAnsi="Times New Roman" w:cs="Times New Roman"/>
          <w:sz w:val="24"/>
          <w:szCs w:val="24"/>
        </w:rPr>
        <w:t>Word count : 944 words</w:t>
      </w:r>
      <w:bookmarkStart w:id="0" w:name="_GoBack"/>
      <w:bookmarkEnd w:id="0"/>
      <w:r w:rsidR="00A60370" w:rsidRPr="00A60370">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434444485"/>
        <w:docPartObj>
          <w:docPartGallery w:val="Bibliographies"/>
          <w:docPartUnique/>
        </w:docPartObj>
      </w:sdtPr>
      <w:sdtEndPr/>
      <w:sdtContent>
        <w:p w:rsidR="00A60370" w:rsidRPr="00A60370" w:rsidRDefault="00A60370" w:rsidP="005525EB">
          <w:pPr>
            <w:pStyle w:val="Heading1"/>
            <w:spacing w:before="0" w:line="480" w:lineRule="auto"/>
            <w:jc w:val="center"/>
            <w:rPr>
              <w:rFonts w:ascii="Times New Roman" w:hAnsi="Times New Roman" w:cs="Times New Roman"/>
              <w:color w:val="auto"/>
              <w:sz w:val="24"/>
              <w:szCs w:val="24"/>
            </w:rPr>
          </w:pPr>
          <w:r w:rsidRPr="00A60370">
            <w:rPr>
              <w:rFonts w:ascii="Times New Roman" w:hAnsi="Times New Roman" w:cs="Times New Roman"/>
              <w:b w:val="0"/>
              <w:color w:val="auto"/>
              <w:sz w:val="24"/>
              <w:szCs w:val="24"/>
            </w:rPr>
            <w:t xml:space="preserve">References </w:t>
          </w:r>
        </w:p>
        <w:sdt>
          <w:sdtPr>
            <w:rPr>
              <w:rFonts w:ascii="Times New Roman" w:hAnsi="Times New Roman" w:cs="Times New Roman"/>
              <w:sz w:val="24"/>
              <w:szCs w:val="24"/>
            </w:rPr>
            <w:id w:val="111145805"/>
            <w:bibliography/>
          </w:sdtPr>
          <w:sdtEndPr/>
          <w:sdtContent>
            <w:p w:rsidR="00A60370" w:rsidRPr="00A60370" w:rsidRDefault="00A60370" w:rsidP="005525EB">
              <w:pPr>
                <w:pStyle w:val="Bibliography"/>
                <w:spacing w:after="0" w:line="480" w:lineRule="auto"/>
                <w:ind w:left="720" w:hanging="720"/>
                <w:rPr>
                  <w:rFonts w:ascii="Times New Roman" w:hAnsi="Times New Roman" w:cs="Times New Roman"/>
                  <w:noProof/>
                  <w:sz w:val="24"/>
                  <w:szCs w:val="24"/>
                </w:rPr>
              </w:pPr>
              <w:r w:rsidRPr="00A60370">
                <w:rPr>
                  <w:rFonts w:ascii="Times New Roman" w:hAnsi="Times New Roman" w:cs="Times New Roman"/>
                  <w:sz w:val="24"/>
                  <w:szCs w:val="24"/>
                </w:rPr>
                <w:fldChar w:fldCharType="begin"/>
              </w:r>
              <w:r w:rsidRPr="00A60370">
                <w:rPr>
                  <w:rFonts w:ascii="Times New Roman" w:hAnsi="Times New Roman" w:cs="Times New Roman"/>
                  <w:sz w:val="24"/>
                  <w:szCs w:val="24"/>
                </w:rPr>
                <w:instrText xml:space="preserve"> BIBLIOGRAPHY </w:instrText>
              </w:r>
              <w:r w:rsidRPr="00A60370">
                <w:rPr>
                  <w:rFonts w:ascii="Times New Roman" w:hAnsi="Times New Roman" w:cs="Times New Roman"/>
                  <w:sz w:val="24"/>
                  <w:szCs w:val="24"/>
                </w:rPr>
                <w:fldChar w:fldCharType="separate"/>
              </w:r>
              <w:r w:rsidRPr="00A60370">
                <w:rPr>
                  <w:rFonts w:ascii="Times New Roman" w:hAnsi="Times New Roman" w:cs="Times New Roman"/>
                  <w:noProof/>
                  <w:sz w:val="24"/>
                  <w:szCs w:val="24"/>
                </w:rPr>
                <w:t xml:space="preserve">Beauregard, D. N. (2013). Moral Thrology in Sir Gawain and the Green Knight: The Pentangle, the Green Knight, and the Perfection of Virtue. </w:t>
              </w:r>
              <w:r w:rsidRPr="00A60370">
                <w:rPr>
                  <w:rFonts w:ascii="Times New Roman" w:hAnsi="Times New Roman" w:cs="Times New Roman"/>
                  <w:i/>
                  <w:iCs/>
                  <w:noProof/>
                  <w:sz w:val="24"/>
                  <w:szCs w:val="24"/>
                </w:rPr>
                <w:t>Renascence</w:t>
              </w:r>
              <w:r w:rsidRPr="00A60370">
                <w:rPr>
                  <w:rFonts w:ascii="Times New Roman" w:hAnsi="Times New Roman" w:cs="Times New Roman"/>
                  <w:noProof/>
                  <w:sz w:val="24"/>
                  <w:szCs w:val="24"/>
                </w:rPr>
                <w:t xml:space="preserve"> </w:t>
              </w:r>
              <w:r w:rsidRPr="00A60370">
                <w:rPr>
                  <w:rFonts w:ascii="Times New Roman" w:hAnsi="Times New Roman" w:cs="Times New Roman"/>
                  <w:i/>
                  <w:iCs/>
                  <w:noProof/>
                  <w:sz w:val="24"/>
                  <w:szCs w:val="24"/>
                </w:rPr>
                <w:t>, 65</w:t>
              </w:r>
              <w:r w:rsidRPr="00A60370">
                <w:rPr>
                  <w:rFonts w:ascii="Times New Roman" w:hAnsi="Times New Roman" w:cs="Times New Roman"/>
                  <w:noProof/>
                  <w:sz w:val="24"/>
                  <w:szCs w:val="24"/>
                </w:rPr>
                <w:t xml:space="preserve"> (3), 146-162.</w:t>
              </w:r>
            </w:p>
            <w:p w:rsidR="00A60370" w:rsidRPr="00A60370" w:rsidRDefault="00A60370" w:rsidP="005525EB">
              <w:pPr>
                <w:pStyle w:val="Bibliography"/>
                <w:spacing w:after="0" w:line="480" w:lineRule="auto"/>
                <w:ind w:left="720" w:hanging="720"/>
                <w:rPr>
                  <w:rFonts w:ascii="Times New Roman" w:hAnsi="Times New Roman" w:cs="Times New Roman"/>
                  <w:noProof/>
                  <w:sz w:val="24"/>
                  <w:szCs w:val="24"/>
                </w:rPr>
              </w:pPr>
              <w:r w:rsidRPr="00A60370">
                <w:rPr>
                  <w:rFonts w:ascii="Times New Roman" w:hAnsi="Times New Roman" w:cs="Times New Roman"/>
                  <w:noProof/>
                  <w:sz w:val="24"/>
                  <w:szCs w:val="24"/>
                </w:rPr>
                <w:t xml:space="preserve">Shanefield, D. (n.d.). </w:t>
              </w:r>
              <w:r w:rsidRPr="00A60370">
                <w:rPr>
                  <w:rFonts w:ascii="Times New Roman" w:hAnsi="Times New Roman" w:cs="Times New Roman"/>
                  <w:i/>
                  <w:iCs/>
                  <w:noProof/>
                  <w:sz w:val="24"/>
                  <w:szCs w:val="24"/>
                </w:rPr>
                <w:t>Meditation 522: The Bible is analogoues to the King Arthur story</w:t>
              </w:r>
              <w:r w:rsidRPr="00A60370">
                <w:rPr>
                  <w:rFonts w:ascii="Times New Roman" w:hAnsi="Times New Roman" w:cs="Times New Roman"/>
                  <w:noProof/>
                  <w:sz w:val="24"/>
                  <w:szCs w:val="24"/>
                </w:rPr>
                <w:t>. Retrieved September 26, 2019, from http://www.apatheticagnostic.com/articles/meds2/med27/med522.html</w:t>
              </w:r>
            </w:p>
            <w:p w:rsidR="00A60370" w:rsidRPr="00A60370" w:rsidRDefault="00A60370" w:rsidP="005525EB">
              <w:pPr>
                <w:pStyle w:val="Bibliography"/>
                <w:spacing w:after="0" w:line="480" w:lineRule="auto"/>
                <w:ind w:left="720" w:hanging="720"/>
                <w:rPr>
                  <w:rFonts w:ascii="Times New Roman" w:hAnsi="Times New Roman" w:cs="Times New Roman"/>
                  <w:noProof/>
                  <w:sz w:val="24"/>
                  <w:szCs w:val="24"/>
                </w:rPr>
              </w:pPr>
              <w:r w:rsidRPr="00A60370">
                <w:rPr>
                  <w:rFonts w:ascii="Times New Roman" w:hAnsi="Times New Roman" w:cs="Times New Roman"/>
                  <w:noProof/>
                  <w:sz w:val="24"/>
                  <w:szCs w:val="24"/>
                </w:rPr>
                <w:t xml:space="preserve">Tag Archives. (2012, July 21). </w:t>
              </w:r>
              <w:r w:rsidRPr="00A60370">
                <w:rPr>
                  <w:rFonts w:ascii="Times New Roman" w:hAnsi="Times New Roman" w:cs="Times New Roman"/>
                  <w:i/>
                  <w:iCs/>
                  <w:noProof/>
                  <w:sz w:val="24"/>
                  <w:szCs w:val="24"/>
                </w:rPr>
                <w:t>Gawain and the Goldeb Angles</w:t>
              </w:r>
              <w:r w:rsidRPr="00A60370">
                <w:rPr>
                  <w:rFonts w:ascii="Times New Roman" w:hAnsi="Times New Roman" w:cs="Times New Roman"/>
                  <w:noProof/>
                  <w:sz w:val="24"/>
                  <w:szCs w:val="24"/>
                </w:rPr>
                <w:t>. Retrieved September 26, 2019, from Medieval Inconography: https://medievaliconography.wordpress.com/tag/pentangle/</w:t>
              </w:r>
            </w:p>
            <w:p w:rsidR="00A60370" w:rsidRPr="00A60370" w:rsidRDefault="00A60370" w:rsidP="005525EB">
              <w:pPr>
                <w:spacing w:after="0" w:line="480" w:lineRule="auto"/>
                <w:ind w:left="720" w:hanging="720"/>
                <w:rPr>
                  <w:rFonts w:ascii="Times New Roman" w:hAnsi="Times New Roman" w:cs="Times New Roman"/>
                  <w:sz w:val="24"/>
                  <w:szCs w:val="24"/>
                </w:rPr>
              </w:pPr>
              <w:r w:rsidRPr="00A60370">
                <w:rPr>
                  <w:rFonts w:ascii="Times New Roman" w:hAnsi="Times New Roman" w:cs="Times New Roman"/>
                  <w:sz w:val="24"/>
                  <w:szCs w:val="24"/>
                </w:rPr>
                <w:fldChar w:fldCharType="end"/>
              </w:r>
            </w:p>
          </w:sdtContent>
        </w:sdt>
      </w:sdtContent>
    </w:sdt>
    <w:p w:rsidR="006C4870" w:rsidRPr="00A60370" w:rsidRDefault="006C4870" w:rsidP="005525EB">
      <w:pPr>
        <w:spacing w:after="0" w:line="480" w:lineRule="auto"/>
        <w:ind w:firstLine="720"/>
        <w:rPr>
          <w:rFonts w:ascii="Times New Roman" w:hAnsi="Times New Roman" w:cs="Times New Roman"/>
          <w:sz w:val="24"/>
          <w:szCs w:val="24"/>
        </w:rPr>
      </w:pPr>
    </w:p>
    <w:sectPr w:rsidR="006C4870" w:rsidRPr="00A60370" w:rsidSect="00A60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DEB" w:rsidRDefault="00340DEB" w:rsidP="00A60370">
      <w:pPr>
        <w:spacing w:after="0" w:line="240" w:lineRule="auto"/>
      </w:pPr>
      <w:r>
        <w:separator/>
      </w:r>
    </w:p>
  </w:endnote>
  <w:endnote w:type="continuationSeparator" w:id="0">
    <w:p w:rsidR="00340DEB" w:rsidRDefault="00340DEB" w:rsidP="00A60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DEB" w:rsidRDefault="00340DEB" w:rsidP="00A60370">
      <w:pPr>
        <w:spacing w:after="0" w:line="240" w:lineRule="auto"/>
      </w:pPr>
      <w:r>
        <w:separator/>
      </w:r>
    </w:p>
  </w:footnote>
  <w:footnote w:type="continuationSeparator" w:id="0">
    <w:p w:rsidR="00340DEB" w:rsidRDefault="00340DEB" w:rsidP="00A60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370" w:rsidRPr="00A60370" w:rsidRDefault="00A60370">
    <w:pPr>
      <w:pStyle w:val="Header"/>
      <w:jc w:val="right"/>
      <w:rPr>
        <w:rFonts w:ascii="Times New Roman" w:hAnsi="Times New Roman" w:cs="Times New Roman"/>
        <w:sz w:val="24"/>
      </w:rPr>
    </w:pPr>
    <w:r w:rsidRPr="00A60370">
      <w:rPr>
        <w:rFonts w:ascii="Times New Roman" w:hAnsi="Times New Roman" w:cs="Times New Roman"/>
        <w:sz w:val="24"/>
      </w:rPr>
      <w:t xml:space="preserve">SIR GAWAIN AND THE GREEN KNIGHT </w:t>
    </w:r>
    <w:r w:rsidRPr="00A60370">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434444494"/>
        <w:docPartObj>
          <w:docPartGallery w:val="Page Numbers (Top of Page)"/>
          <w:docPartUnique/>
        </w:docPartObj>
      </w:sdtPr>
      <w:sdtEndPr/>
      <w:sdtContent>
        <w:r w:rsidRPr="00A60370">
          <w:rPr>
            <w:rFonts w:ascii="Times New Roman" w:hAnsi="Times New Roman" w:cs="Times New Roman"/>
            <w:sz w:val="24"/>
          </w:rPr>
          <w:fldChar w:fldCharType="begin"/>
        </w:r>
        <w:r w:rsidRPr="00A60370">
          <w:rPr>
            <w:rFonts w:ascii="Times New Roman" w:hAnsi="Times New Roman" w:cs="Times New Roman"/>
            <w:sz w:val="24"/>
          </w:rPr>
          <w:instrText xml:space="preserve"> PAGE   \* MERGEFORMAT </w:instrText>
        </w:r>
        <w:r w:rsidRPr="00A60370">
          <w:rPr>
            <w:rFonts w:ascii="Times New Roman" w:hAnsi="Times New Roman" w:cs="Times New Roman"/>
            <w:sz w:val="24"/>
          </w:rPr>
          <w:fldChar w:fldCharType="separate"/>
        </w:r>
        <w:r w:rsidR="005525EB">
          <w:rPr>
            <w:rFonts w:ascii="Times New Roman" w:hAnsi="Times New Roman" w:cs="Times New Roman"/>
            <w:noProof/>
            <w:sz w:val="24"/>
          </w:rPr>
          <w:t>5</w:t>
        </w:r>
        <w:r w:rsidRPr="00A60370">
          <w:rPr>
            <w:rFonts w:ascii="Times New Roman" w:hAnsi="Times New Roman" w:cs="Times New Roman"/>
            <w:sz w:val="24"/>
          </w:rPr>
          <w:fldChar w:fldCharType="end"/>
        </w:r>
      </w:sdtContent>
    </w:sdt>
  </w:p>
  <w:p w:rsidR="00A60370" w:rsidRPr="00A60370" w:rsidRDefault="00A60370">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370" w:rsidRPr="00A60370" w:rsidRDefault="00A60370">
    <w:pPr>
      <w:pStyle w:val="Header"/>
      <w:jc w:val="right"/>
      <w:rPr>
        <w:rFonts w:ascii="Times New Roman" w:hAnsi="Times New Roman" w:cs="Times New Roman"/>
        <w:sz w:val="24"/>
      </w:rPr>
    </w:pPr>
    <w:r w:rsidRPr="00A60370">
      <w:rPr>
        <w:rFonts w:ascii="Times New Roman" w:hAnsi="Times New Roman" w:cs="Times New Roman"/>
        <w:sz w:val="24"/>
      </w:rPr>
      <w:t xml:space="preserve">Running Head: SIR GAWAIN AND THE GREEN KNIGHT </w:t>
    </w:r>
    <w:r w:rsidRPr="00A60370">
      <w:rPr>
        <w:rFonts w:ascii="Times New Roman" w:hAnsi="Times New Roman" w:cs="Times New Roman"/>
        <w:sz w:val="24"/>
      </w:rPr>
      <w:tab/>
    </w:r>
    <w:sdt>
      <w:sdtPr>
        <w:rPr>
          <w:rFonts w:ascii="Times New Roman" w:hAnsi="Times New Roman" w:cs="Times New Roman"/>
          <w:sz w:val="24"/>
        </w:rPr>
        <w:id w:val="434444527"/>
        <w:docPartObj>
          <w:docPartGallery w:val="Page Numbers (Top of Page)"/>
          <w:docPartUnique/>
        </w:docPartObj>
      </w:sdtPr>
      <w:sdtEndPr/>
      <w:sdtContent>
        <w:r w:rsidRPr="00A60370">
          <w:rPr>
            <w:rFonts w:ascii="Times New Roman" w:hAnsi="Times New Roman" w:cs="Times New Roman"/>
            <w:sz w:val="24"/>
          </w:rPr>
          <w:fldChar w:fldCharType="begin"/>
        </w:r>
        <w:r w:rsidRPr="00A60370">
          <w:rPr>
            <w:rFonts w:ascii="Times New Roman" w:hAnsi="Times New Roman" w:cs="Times New Roman"/>
            <w:sz w:val="24"/>
          </w:rPr>
          <w:instrText xml:space="preserve"> PAGE   \* MERGEFORMAT </w:instrText>
        </w:r>
        <w:r w:rsidRPr="00A60370">
          <w:rPr>
            <w:rFonts w:ascii="Times New Roman" w:hAnsi="Times New Roman" w:cs="Times New Roman"/>
            <w:sz w:val="24"/>
          </w:rPr>
          <w:fldChar w:fldCharType="separate"/>
        </w:r>
        <w:r w:rsidR="005525EB">
          <w:rPr>
            <w:rFonts w:ascii="Times New Roman" w:hAnsi="Times New Roman" w:cs="Times New Roman"/>
            <w:noProof/>
            <w:sz w:val="24"/>
          </w:rPr>
          <w:t>1</w:t>
        </w:r>
        <w:r w:rsidRPr="00A60370">
          <w:rPr>
            <w:rFonts w:ascii="Times New Roman" w:hAnsi="Times New Roman" w:cs="Times New Roman"/>
            <w:sz w:val="24"/>
          </w:rPr>
          <w:fldChar w:fldCharType="end"/>
        </w:r>
      </w:sdtContent>
    </w:sdt>
  </w:p>
  <w:p w:rsidR="00A60370" w:rsidRPr="00A60370" w:rsidRDefault="00A6037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BD1"/>
    <w:rsid w:val="00340DEB"/>
    <w:rsid w:val="004405AD"/>
    <w:rsid w:val="004C13CC"/>
    <w:rsid w:val="005525EB"/>
    <w:rsid w:val="00603BD1"/>
    <w:rsid w:val="006C4870"/>
    <w:rsid w:val="006F76FF"/>
    <w:rsid w:val="00A42532"/>
    <w:rsid w:val="00A60370"/>
    <w:rsid w:val="00B30204"/>
    <w:rsid w:val="00BC0401"/>
    <w:rsid w:val="00CA74AD"/>
    <w:rsid w:val="00E9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555EC"/>
  <w15:docId w15:val="{84903BE5-561B-4E02-84E7-A806A36AD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037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37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60370"/>
  </w:style>
  <w:style w:type="paragraph" w:styleId="BalloonText">
    <w:name w:val="Balloon Text"/>
    <w:basedOn w:val="Normal"/>
    <w:link w:val="BalloonTextChar"/>
    <w:uiPriority w:val="99"/>
    <w:semiHidden/>
    <w:unhideWhenUsed/>
    <w:rsid w:val="00A60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370"/>
    <w:rPr>
      <w:rFonts w:ascii="Tahoma" w:hAnsi="Tahoma" w:cs="Tahoma"/>
      <w:sz w:val="16"/>
      <w:szCs w:val="16"/>
    </w:rPr>
  </w:style>
  <w:style w:type="paragraph" w:styleId="Header">
    <w:name w:val="header"/>
    <w:basedOn w:val="Normal"/>
    <w:link w:val="HeaderChar"/>
    <w:uiPriority w:val="99"/>
    <w:unhideWhenUsed/>
    <w:rsid w:val="00A60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370"/>
  </w:style>
  <w:style w:type="paragraph" w:styleId="Footer">
    <w:name w:val="footer"/>
    <w:basedOn w:val="Normal"/>
    <w:link w:val="FooterChar"/>
    <w:uiPriority w:val="99"/>
    <w:semiHidden/>
    <w:unhideWhenUsed/>
    <w:rsid w:val="00A603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0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Tag12</b:Tag>
    <b:SourceType>InternetSite</b:SourceType>
    <b:Guid>{8DF43D14-37A2-4750-BDBE-060DDE72F021}</b:Guid>
    <b:Author>
      <b:Author>
        <b:Corporate>Tag Archives</b:Corporate>
      </b:Author>
    </b:Author>
    <b:Title>Gawain and the Goldeb Angles</b:Title>
    <b:InternetSiteTitle>Medieval Inconography</b:InternetSiteTitle>
    <b:Year>2012</b:Year>
    <b:Month>July</b:Month>
    <b:Day>21</b:Day>
    <b:YearAccessed>2019</b:YearAccessed>
    <b:MonthAccessed>September</b:MonthAccessed>
    <b:DayAccessed>26</b:DayAccessed>
    <b:URL>https://medievaliconography.wordpress.com/tag/pentangle/</b:URL>
    <b:RefOrder>1</b:RefOrder>
  </b:Source>
  <b:Source>
    <b:Tag>Sha19</b:Tag>
    <b:SourceType>InternetSite</b:SourceType>
    <b:Guid>{F1C4FBD4-F5C0-4EBA-B8B6-7BA6DED27790}</b:Guid>
    <b:Author>
      <b:Author>
        <b:NameList>
          <b:Person>
            <b:Last>Shanefield</b:Last>
            <b:First>Dan</b:First>
          </b:Person>
        </b:NameList>
      </b:Author>
    </b:Author>
    <b:Title>Meditation 522: The Bible is analogoues to the King Arthur story</b:Title>
    <b:YearAccessed>2019</b:YearAccessed>
    <b:MonthAccessed>September</b:MonthAccessed>
    <b:DayAccessed>26</b:DayAccessed>
    <b:URL>http://www.apatheticagnostic.com/articles/meds2/med27/med522.html</b:URL>
    <b:RefOrder>2</b:RefOrder>
  </b:Source>
  <b:Source>
    <b:Tag>Bea13</b:Tag>
    <b:SourceType>JournalArticle</b:SourceType>
    <b:Guid>{1AA06C58-A52D-4A64-B2E7-A93B8F8D2154}</b:Guid>
    <b:Author>
      <b:Author>
        <b:NameList>
          <b:Person>
            <b:Last>Beauregard</b:Last>
            <b:First>David</b:First>
            <b:Middle>N.</b:Middle>
          </b:Person>
        </b:NameList>
      </b:Author>
    </b:Author>
    <b:Title>Moral Thrology in Sir Gawain and the Green Knight: The Pentangle, the Green Knight, and the Perfection of Virtue.</b:Title>
    <b:Year>2013</b:Year>
    <b:JournalName>Renascence</b:JournalName>
    <b:Pages>146-162</b:Pages>
    <b:Volume>65</b:Volume>
    <b:Issue>3</b:Issue>
    <b:RefOrder>3</b:RefOrder>
  </b:Source>
</b:Sources>
</file>

<file path=customXml/itemProps1.xml><?xml version="1.0" encoding="utf-8"?>
<ds:datastoreItem xmlns:ds="http://schemas.openxmlformats.org/officeDocument/2006/customXml" ds:itemID="{3799AE4D-5FB4-41D6-B300-F4248CE5C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2019-09-27T03:05:00Z</dcterms:created>
  <dcterms:modified xsi:type="dcterms:W3CDTF">2019-09-27T03:05:00Z</dcterms:modified>
</cp:coreProperties>
</file>